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87" w:rsidRDefault="00226787" w:rsidP="00FE2BDC">
      <w:pPr>
        <w:pStyle w:val="1"/>
        <w:spacing w:after="360" w:line="317" w:lineRule="auto"/>
        <w:ind w:left="140" w:firstLine="740"/>
        <w:jc w:val="both"/>
        <w:rPr>
          <w:b/>
          <w:bCs/>
          <w:lang w:eastAsia="ru-RU" w:bidi="ru-RU"/>
        </w:rPr>
      </w:pPr>
    </w:p>
    <w:p w:rsidR="00FE2BDC" w:rsidRPr="00DB4238" w:rsidRDefault="00033B65" w:rsidP="00FE2BDC">
      <w:pPr>
        <w:pStyle w:val="1"/>
        <w:spacing w:after="360" w:line="317" w:lineRule="auto"/>
        <w:ind w:left="140" w:firstLine="740"/>
        <w:jc w:val="both"/>
      </w:pPr>
      <w:r>
        <w:rPr>
          <w:b/>
          <w:bCs/>
          <w:lang w:eastAsia="ru-RU" w:bidi="ru-RU"/>
        </w:rPr>
        <w:t>Тема доклада: Особенности формирования</w:t>
      </w:r>
      <w:r w:rsidR="00FE2BDC">
        <w:rPr>
          <w:b/>
          <w:bCs/>
          <w:lang w:eastAsia="ru-RU" w:bidi="ru-RU"/>
        </w:rPr>
        <w:t xml:space="preserve"> жизненных компетенций у учащихся специального коррекционного класса сельской школы.</w:t>
      </w:r>
      <w:r w:rsidR="00DB4238">
        <w:rPr>
          <w:b/>
          <w:bCs/>
          <w:lang w:eastAsia="ru-RU" w:bidi="ru-RU"/>
        </w:rPr>
        <w:t xml:space="preserve"> </w:t>
      </w:r>
      <w:r w:rsidR="00DB4238">
        <w:rPr>
          <w:bCs/>
          <w:lang w:eastAsia="ru-RU" w:bidi="ru-RU"/>
        </w:rPr>
        <w:t>(Из опыта работы в сельской школе).</w:t>
      </w:r>
    </w:p>
    <w:p w:rsidR="00FE2BDC" w:rsidRDefault="00226787" w:rsidP="00FE2BDC">
      <w:pPr>
        <w:pStyle w:val="1"/>
        <w:ind w:firstLine="680"/>
        <w:jc w:val="both"/>
      </w:pPr>
      <w:r>
        <w:rPr>
          <w:lang w:eastAsia="ru-RU" w:bidi="ru-RU"/>
        </w:rPr>
        <w:t>Особую з</w:t>
      </w:r>
      <w:r w:rsidR="00FE2BDC">
        <w:rPr>
          <w:lang w:eastAsia="ru-RU" w:bidi="ru-RU"/>
        </w:rPr>
        <w:t xml:space="preserve">начимость в изучении вопросов организации обучения и воспитания детей с умственной отсталостью, адаптации и интеграции их в общество приобретает их психолого-педагогическое сопровождение (О.А. Денисова, Т.С. Зыкова, О.И. Кукушкина, Л.М. </w:t>
      </w:r>
      <w:proofErr w:type="spellStart"/>
      <w:r w:rsidR="00FE2BDC">
        <w:rPr>
          <w:lang w:eastAsia="ru-RU" w:bidi="ru-RU"/>
        </w:rPr>
        <w:t>Кобрина</w:t>
      </w:r>
      <w:proofErr w:type="spellEnd"/>
      <w:r w:rsidR="00FE2BDC">
        <w:rPr>
          <w:lang w:eastAsia="ru-RU" w:bidi="ru-RU"/>
        </w:rPr>
        <w:t>). Оно направляется, в первую очередь, на формирование сферы жизненной компетенции.</w:t>
      </w:r>
    </w:p>
    <w:p w:rsidR="00FE2BDC" w:rsidRDefault="00FE2BDC" w:rsidP="00FE2BDC">
      <w:pPr>
        <w:pStyle w:val="1"/>
        <w:ind w:firstLine="800"/>
        <w:jc w:val="both"/>
      </w:pPr>
      <w:r>
        <w:rPr>
          <w:lang w:eastAsia="ru-RU" w:bidi="ru-RU"/>
        </w:rPr>
        <w:t>Специальный коррекционный класс выглядит более предпочтительным, нежели помещение умственно отсталого школьника в общеобразовательный класс. Следует констатировать, что в условиях нашей школы количество умственно отсталых детей на каждой параллели недостаточно для открытия отдельного класса, поэтому единственно возможным решением становится разновозрастной класс.</w:t>
      </w:r>
    </w:p>
    <w:p w:rsidR="00FE2BDC" w:rsidRDefault="00FE2BDC" w:rsidP="00FE2BDC">
      <w:pPr>
        <w:pStyle w:val="1"/>
        <w:ind w:firstLine="880"/>
        <w:jc w:val="both"/>
      </w:pPr>
      <w:r>
        <w:rPr>
          <w:lang w:eastAsia="ru-RU" w:bidi="ru-RU"/>
        </w:rPr>
        <w:t>Кроме того, нам представляется, что жизнь в сельском социуме сама по себе дает некоторые преимущества для формирования у детей обсуждаемой категории навыков и умений, относящихся к сфере жизненной компетенции. Школа п. Приморский создает условия для реализации модели интегрированного обучения умственно отсталых школьников. Подобное обучение требует продуманного сопровождения учащихся, в первую очередь формирования их жизненной компетентности.</w:t>
      </w:r>
    </w:p>
    <w:p w:rsidR="00FE2BDC" w:rsidRDefault="00FE2BDC" w:rsidP="00FE2BDC">
      <w:pPr>
        <w:pStyle w:val="1"/>
        <w:spacing w:after="180"/>
        <w:ind w:firstLine="680"/>
        <w:jc w:val="both"/>
      </w:pPr>
      <w:r>
        <w:rPr>
          <w:lang w:eastAsia="ru-RU" w:bidi="ru-RU"/>
        </w:rPr>
        <w:t xml:space="preserve">Формирование сфер жизненных компетенций ребенка зависит от окружающей его среды. Обедненная среда сельского социума отрицательно сказывается на процессе формирования сфер жизненной компетенции (житейской, коммуникативной, </w:t>
      </w:r>
      <w:proofErr w:type="spellStart"/>
      <w:r>
        <w:rPr>
          <w:lang w:eastAsia="ru-RU" w:bidi="ru-RU"/>
        </w:rPr>
        <w:t>аутопсихологической</w:t>
      </w:r>
      <w:proofErr w:type="spellEnd"/>
      <w:r>
        <w:rPr>
          <w:lang w:eastAsia="ru-RU" w:bidi="ru-RU"/>
        </w:rPr>
        <w:t xml:space="preserve">, </w:t>
      </w:r>
      <w:proofErr w:type="spellStart"/>
      <w:r>
        <w:rPr>
          <w:lang w:eastAsia="ru-RU" w:bidi="ru-RU"/>
        </w:rPr>
        <w:t>здоровьесберегающей</w:t>
      </w:r>
      <w:proofErr w:type="spellEnd"/>
      <w:r>
        <w:rPr>
          <w:lang w:eastAsia="ru-RU" w:bidi="ru-RU"/>
        </w:rPr>
        <w:t>) ввиду того, что ребенок оказывается в ситуации социокультурной депривации. Проживание ребенка в сельском социуме выступает как фактор риска отставания в социальном развитии. Поэтому приоритеты сопровождения должны заключаться в формировании перечисленных сфер жизненной компетенции.</w:t>
      </w:r>
    </w:p>
    <w:p w:rsidR="00FE3032" w:rsidRDefault="00FE3032"/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Для разработки программы по формированию жизненных компетенций учащихся с умственной отсталостью специального коррекцио</w:t>
      </w:r>
      <w:r w:rsidR="00226787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нного класса сельской школы были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проанализированы данные о детях, обучавшихся в специальном коррекционном классе с 20</w:t>
      </w:r>
      <w:r w:rsidR="00062055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18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года. Установлены варианты траекторий станов</w:t>
      </w:r>
      <w:r w:rsidR="0046706B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ления учебной деятельности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(ровная - без </w:t>
      </w:r>
      <w:r w:rsidRPr="008708CA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динамических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изменений, повышающаяся - динамика имеет положительную тенденцию, снижающаяся - динамика имеет отрицательную тенденцию, неравномерная - чередующееся повышение и снижение результативности).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В результате установления вариантов траекторий учебной деятельности учащихся были получены следующие данные (слайд):</w:t>
      </w:r>
    </w:p>
    <w:p w:rsidR="00FE2BDC" w:rsidRPr="00FE2BDC" w:rsidRDefault="00FE2BDC" w:rsidP="00FE2BDC">
      <w:pPr>
        <w:widowControl w:val="0"/>
        <w:numPr>
          <w:ilvl w:val="0"/>
          <w:numId w:val="1"/>
        </w:numPr>
        <w:tabs>
          <w:tab w:val="left" w:pos="132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Ровна</w:t>
      </w:r>
      <w:r w:rsidR="0046706B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я траектория наблюдалась у 21,33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% учеников.</w:t>
      </w:r>
    </w:p>
    <w:p w:rsidR="00FE2BDC" w:rsidRPr="00FE2BDC" w:rsidRDefault="0046706B" w:rsidP="00FE2BDC">
      <w:pPr>
        <w:widowControl w:val="0"/>
        <w:numPr>
          <w:ilvl w:val="0"/>
          <w:numId w:val="1"/>
        </w:numPr>
        <w:tabs>
          <w:tab w:val="left" w:pos="132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Повышающаяся - у 2,76 </w:t>
      </w:r>
      <w:r w:rsidR="00FE2BDC"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% учеников.</w:t>
      </w:r>
    </w:p>
    <w:p w:rsidR="00FE2BDC" w:rsidRPr="00FE2BDC" w:rsidRDefault="00FE2BDC" w:rsidP="00FE2BDC">
      <w:pPr>
        <w:widowControl w:val="0"/>
        <w:numPr>
          <w:ilvl w:val="0"/>
          <w:numId w:val="1"/>
        </w:numPr>
        <w:tabs>
          <w:tab w:val="left" w:pos="132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Снижающаяся - у </w:t>
      </w:r>
      <w:r w:rsidR="0046706B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7,58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% учеников.</w:t>
      </w:r>
    </w:p>
    <w:p w:rsidR="00FE2BDC" w:rsidRPr="00FE2BDC" w:rsidRDefault="0046706B" w:rsidP="00FE2BDC">
      <w:pPr>
        <w:widowControl w:val="0"/>
        <w:numPr>
          <w:ilvl w:val="0"/>
          <w:numId w:val="1"/>
        </w:numPr>
        <w:tabs>
          <w:tab w:val="left" w:pos="1321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Неравномерная - у 68,33</w:t>
      </w:r>
      <w:r w:rsidR="00FE2BDC"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% учеников, что обусловлено особенностями дефекта.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С целью индивидуализации работы с детьми определялись психологические типы учеников согласно обобщенным характеристикам школьников, относимых к каждому из типов (Е.</w:t>
      </w:r>
      <w:r w:rsidR="00F34631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Л. </w:t>
      </w:r>
      <w:proofErr w:type="spellStart"/>
      <w:r w:rsidR="00F34631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Инденбаум</w:t>
      </w:r>
      <w:proofErr w:type="spellEnd"/>
      <w:r w:rsidR="00F34631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) 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Полученные результаты показывают, что к 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«пограничному» типу относится 21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% учащихся, «клас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сическому» типу соответствует 57% учеников, «осложненному» - 22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% из общего количества учащихся. 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Проанализирована зависимость успешности образовательного процесса от характеристик семьи. Проводилась оценка социально - психологического статуса семьи. Семьи были отнесены к «оптимальной», «удовлетворительной» и «неуд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овлетворительной» группам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.</w:t>
      </w:r>
    </w:p>
    <w:p w:rsidR="00FE2BDC" w:rsidRPr="00FE2BDC" w:rsidRDefault="00FE2BDC" w:rsidP="00D20DA9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Обследование семей показало, что большая часть семей, т.е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. 73,46 % относятся ко второму –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«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удовлетворительному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»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уровню, </w:t>
      </w:r>
      <w:r w:rsidR="0034336B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8,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9</w:t>
      </w:r>
      <w:r w:rsidR="0034336B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7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% семей – к «неудовлетворительному»,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что говорит о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недостаточном их благополучии ввиду присутствия одной из причин: наличие вредных привычек, плохие жилищные условия, недоброжелательные отношения в семье.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Процент семей, относящихся к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оп</w:t>
      </w:r>
      <w:r w:rsidR="00D20DA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тимальному уровню очень мал - 17,5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7 %, что объясняется определенным контингентом семей учащихся с умственной отсталостью и,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lastRenderedPageBreak/>
        <w:t>возможно, недостаточной работой с данной категорией семей. Данные показатели говорят о необходимости усиления работы с семьями учащихся коррекционного класса.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Также был проанализирован уровень </w:t>
      </w:r>
      <w:proofErr w:type="spellStart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сформированности</w:t>
      </w:r>
      <w:proofErr w:type="spellEnd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жизненных компетенций. Это, в свою очередь, позволило определить основные жизненные компетентности, которые необходимо формировать в процессе социализации детей с УО. Среди них, с учетом психофизических особенностей данного контингента, первостепенное значение придае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м следующим компонентам:</w:t>
      </w:r>
    </w:p>
    <w:p w:rsidR="00FE2BDC" w:rsidRPr="00FE2BDC" w:rsidRDefault="00FE2BDC" w:rsidP="00FE2BDC">
      <w:pPr>
        <w:widowControl w:val="0"/>
        <w:numPr>
          <w:ilvl w:val="0"/>
          <w:numId w:val="2"/>
        </w:numPr>
        <w:tabs>
          <w:tab w:val="left" w:pos="87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proofErr w:type="spellStart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операциональному</w:t>
      </w:r>
      <w:proofErr w:type="spellEnd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компоненту (развитие общей и мелкой 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моторики, формирование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навыков самообслуживания);</w:t>
      </w:r>
    </w:p>
    <w:p w:rsidR="00FE2BDC" w:rsidRPr="00FE2BDC" w:rsidRDefault="00FE2BDC" w:rsidP="00FE2BDC">
      <w:pPr>
        <w:widowControl w:val="0"/>
        <w:numPr>
          <w:ilvl w:val="0"/>
          <w:numId w:val="2"/>
        </w:numPr>
        <w:tabs>
          <w:tab w:val="left" w:pos="8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коммуникативному компоненту (развит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ие речи, формирование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коммуникативных навыков):</w:t>
      </w:r>
    </w:p>
    <w:p w:rsidR="00FE2BDC" w:rsidRPr="00FE2BDC" w:rsidRDefault="00FE2BDC" w:rsidP="00FE2BDC">
      <w:pPr>
        <w:widowControl w:val="0"/>
        <w:numPr>
          <w:ilvl w:val="0"/>
          <w:numId w:val="2"/>
        </w:numPr>
        <w:tabs>
          <w:tab w:val="left" w:pos="8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регулятивно - мыслительному к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омпоненту (развитие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навыков самоконтроля и </w:t>
      </w:r>
      <w:proofErr w:type="spellStart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саморегуляции</w:t>
      </w:r>
      <w:proofErr w:type="spellEnd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поведения и деятельности).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В к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онечном итоге был определен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уровень </w:t>
      </w:r>
      <w:proofErr w:type="spellStart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сформированности</w:t>
      </w:r>
      <w:proofErr w:type="spellEnd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изучаемых компонентов жизненной компетентности на данный момент (достаточный, необходимый, недостаточный).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Полученные результаты показывают, что на достаточном уровне формирования жизнен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ных компетенций находятся лишь 9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% учеников, на необходимом 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–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</w:t>
      </w:r>
      <w:r w:rsidR="00F10169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78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%, и на н</w:t>
      </w:r>
      <w:r w:rsidR="003F3C6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едостаточном уровне находятся 23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% учащихся.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Исходя из полученных данных, необходимо сделать вывод о том, что учащиеся данной категории детей нуждаются в целенаправленной помощи по формированию у них жизненных компетенций.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Задачами для оказания целенапр</w:t>
      </w:r>
      <w:r w:rsidR="003F3C6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авленной помощи являются</w:t>
      </w:r>
      <w:bookmarkStart w:id="0" w:name="_GoBack"/>
      <w:bookmarkEnd w:id="0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:</w:t>
      </w:r>
    </w:p>
    <w:p w:rsidR="00FE2BDC" w:rsidRPr="00FE2BDC" w:rsidRDefault="00FE2BDC" w:rsidP="00FE2BDC">
      <w:pPr>
        <w:widowControl w:val="0"/>
        <w:spacing w:after="0" w:line="317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Первая - образовательная задача направлена на усвоение учащимися программного материала общеобразовательной коррекционной школы VIII вида и формирование у них интереса к учебной деятельности, к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Вторая задача - коррекционная направлена на коррекцию недостатков высших психических функций учащихся и решается специалистами (</w:t>
      </w:r>
      <w:proofErr w:type="gramStart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учителем-дефекте</w:t>
      </w:r>
      <w:proofErr w:type="gramEnd"/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логом, психологом).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Третья задача - социальное развитие учащихся направлена на адаптацию детей в коллективе нормально развивающихся сверстников и решается в процессе проведения мероприятий по дополнительному образованию, 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lastRenderedPageBreak/>
        <w:t>организации экскурсий, праздников. В ходе этих мероприятий уделяется внимание формированию коммуникативных средств общения, межличностному взаимоотношению между детьми с ограниченными возможностями здоровья и нормально развивающимися сверстниками. При этом делается акцент на формирование положительного взаимодействия со сверстниками, адекватного поведения в детском коллективе и личностных качеств учащегося с нарушением интеллекта.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Вся работа по формированию жизненных компетенций у учащихся коррекционного класса проводится в условиях общения детей разного возраста.</w:t>
      </w:r>
    </w:p>
    <w:p w:rsidR="00FE2BDC" w:rsidRPr="00FE2BDC" w:rsidRDefault="00FE2BDC" w:rsidP="00FE2BDC">
      <w:pPr>
        <w:widowControl w:val="0"/>
        <w:spacing w:after="0" w:line="360" w:lineRule="auto"/>
        <w:ind w:firstLine="8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Опыт показывает, что в разновозрастной группе, лидерские функции в абсолютном большинстве выполняют старшие, беря на себя ответственность за младших, за всю группу.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Взаимодействие старших и младших рассматривается как фактор осуществления преемственности в школьном объединении. В процессе совместной деятельности и общении происходит преобразование имеющегося опыта старших, а также обогащение и развитие опыта младших.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>Взаимодействие старших и младших выполняет функцию социальной защиты. Прежде всего, как помощь старших младшим в орг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u w:val="single"/>
          <w:lang w:eastAsia="ru-RU" w:bidi="ru-RU"/>
        </w:rPr>
        <w:t>анизации</w:t>
      </w:r>
      <w:r w:rsidRPr="00FE2BDC">
        <w:rPr>
          <w:rFonts w:ascii="Times New Roman" w:eastAsia="Times New Roman" w:hAnsi="Times New Roman" w:cs="Times New Roman"/>
          <w:color w:val="77676D"/>
          <w:sz w:val="26"/>
          <w:szCs w:val="26"/>
          <w:lang w:eastAsia="ru-RU" w:bidi="ru-RU"/>
        </w:rPr>
        <w:t xml:space="preserve"> их жизнедеятельности, особенно при выполнении непосильной для младших</w:t>
      </w:r>
    </w:p>
    <w:p w:rsidR="00FE2BDC" w:rsidRPr="00FE2BDC" w:rsidRDefault="00FE2BDC" w:rsidP="00FE2BDC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работы. В разновозрастном классе у старших школьников появляются дополнительные возможности утвердить себя, получить признание.</w:t>
      </w:r>
    </w:p>
    <w:p w:rsidR="00FE2BDC" w:rsidRPr="00FE2BDC" w:rsidRDefault="00FE2BDC" w:rsidP="00FE2BD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Следует отметить, что формирование жизненных компетенций происходит на протяжении не одного года работы учителя, родителей и общества в целом.</w:t>
      </w:r>
    </w:p>
    <w:p w:rsidR="00FE2BDC" w:rsidRPr="00FE2BDC" w:rsidRDefault="00FE2BDC" w:rsidP="00FE2BD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Исходя из этого мы считали необходимым составление программы с целью углубления и систематизации работы по формированию жизненных компетенций умственно отсталых учеников.</w:t>
      </w:r>
    </w:p>
    <w:p w:rsidR="00FE2BDC" w:rsidRPr="00FE2BDC" w:rsidRDefault="00FE2BDC" w:rsidP="00FE2BD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Программа формирования жизненных компетенций учащихся с умственной отсталостью специального коррекционного класса сельской школы</w:t>
      </w:r>
    </w:p>
    <w:p w:rsidR="00FE2BDC" w:rsidRPr="00FE2BDC" w:rsidRDefault="00FE2BDC" w:rsidP="00FE2BD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 xml:space="preserve">(слайд) Цель программы: совершенствование учебно-воспитательного процесса, обеспечивающего доступность, качество и эффективность </w:t>
      </w: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lastRenderedPageBreak/>
        <w:t xml:space="preserve">образования, развитие самосознания на основе совершенствования </w:t>
      </w:r>
      <w:proofErr w:type="spellStart"/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здоровьеформирующей</w:t>
      </w:r>
      <w:proofErr w:type="spellEnd"/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 xml:space="preserve"> среды и обеспечения безопасного пространства.</w:t>
      </w:r>
    </w:p>
    <w:p w:rsidR="00FE2BDC" w:rsidRPr="00FE2BDC" w:rsidRDefault="00FE2BDC" w:rsidP="00FE2BDC">
      <w:pPr>
        <w:widowControl w:val="0"/>
        <w:spacing w:after="0" w:line="360" w:lineRule="auto"/>
        <w:ind w:firstLine="700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Задачи программы:</w:t>
      </w:r>
    </w:p>
    <w:p w:rsidR="00FE2BDC" w:rsidRPr="00FE2BDC" w:rsidRDefault="00FE2BDC" w:rsidP="00FE2BDC">
      <w:pPr>
        <w:widowControl w:val="0"/>
        <w:numPr>
          <w:ilvl w:val="0"/>
          <w:numId w:val="3"/>
        </w:numPr>
        <w:tabs>
          <w:tab w:val="left" w:pos="9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обеспечение качества учебно-воспитательного процесса на основе сохранения его фундаментальности и соответствия актуальным потребностям личности, общества и государства;</w:t>
      </w:r>
    </w:p>
    <w:p w:rsidR="00FE2BDC" w:rsidRPr="00FE2BDC" w:rsidRDefault="00FE2BDC" w:rsidP="00FE2BDC">
      <w:pPr>
        <w:widowControl w:val="0"/>
        <w:numPr>
          <w:ilvl w:val="0"/>
          <w:numId w:val="3"/>
        </w:numPr>
        <w:tabs>
          <w:tab w:val="left" w:pos="9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обеспечение непрерывности и преемственности содержания коррекционного и дополнительного образования как средства становления ценностного отношения к социально значимому и безопасному поведению в социуме;</w:t>
      </w:r>
    </w:p>
    <w:p w:rsidR="00FE2BDC" w:rsidRPr="00FE2BDC" w:rsidRDefault="00FE2BDC" w:rsidP="00FE2BDC">
      <w:pPr>
        <w:widowControl w:val="0"/>
        <w:numPr>
          <w:ilvl w:val="0"/>
          <w:numId w:val="3"/>
        </w:numPr>
        <w:tabs>
          <w:tab w:val="left" w:pos="9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 xml:space="preserve">создание условий для формирования, укрепления и сохранения психофизического здоровья учащихся за счет использования </w:t>
      </w:r>
      <w:proofErr w:type="spellStart"/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здоровьесберегающих</w:t>
      </w:r>
      <w:proofErr w:type="spellEnd"/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 xml:space="preserve"> технологий;</w:t>
      </w:r>
    </w:p>
    <w:p w:rsidR="00FE2BDC" w:rsidRPr="00FE2BDC" w:rsidRDefault="00FE2BDC" w:rsidP="00FE2BDC">
      <w:pPr>
        <w:widowControl w:val="0"/>
        <w:numPr>
          <w:ilvl w:val="0"/>
          <w:numId w:val="3"/>
        </w:numPr>
        <w:tabs>
          <w:tab w:val="left" w:pos="902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865"/>
          <w:sz w:val="26"/>
          <w:szCs w:val="26"/>
          <w:lang w:eastAsia="ru-RU" w:bidi="ru-RU"/>
        </w:rPr>
        <w:t>обеспечение в единстве комплекса мероприятий по безопасному функционированию образовательного учреждения и проведению экспериментальной работы по формированию навыков безопасности жизнедеятельности.</w:t>
      </w:r>
    </w:p>
    <w:p w:rsidR="00FE2BDC" w:rsidRDefault="00FE2BDC"/>
    <w:p w:rsidR="00FE2BDC" w:rsidRPr="00FE2BDC" w:rsidRDefault="00FE2BDC" w:rsidP="00FE2BDC">
      <w:pPr>
        <w:widowControl w:val="0"/>
        <w:spacing w:after="0" w:line="360" w:lineRule="auto"/>
        <w:ind w:firstLine="660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b/>
          <w:bCs/>
          <w:color w:val="74646A"/>
          <w:sz w:val="26"/>
          <w:szCs w:val="26"/>
          <w:lang w:eastAsia="ru-RU" w:bidi="ru-RU"/>
        </w:rPr>
        <w:t>Основные направления программы (слайд):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32"/>
        </w:tabs>
        <w:spacing w:after="0" w:line="360" w:lineRule="auto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развитие самосознания;</w:t>
      </w:r>
    </w:p>
    <w:p w:rsidR="00FE2BDC" w:rsidRDefault="00FE2BDC" w:rsidP="00684F74">
      <w:pPr>
        <w:widowControl w:val="0"/>
        <w:numPr>
          <w:ilvl w:val="0"/>
          <w:numId w:val="4"/>
        </w:numPr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 xml:space="preserve">развитие </w:t>
      </w:r>
      <w:proofErr w:type="spellStart"/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здоровьеформирующей</w:t>
      </w:r>
      <w:proofErr w:type="spellEnd"/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 xml:space="preserve"> среды;</w:t>
      </w:r>
    </w:p>
    <w:p w:rsidR="00684F74" w:rsidRPr="00684F74" w:rsidRDefault="00684F74" w:rsidP="00684F74">
      <w:pPr>
        <w:widowControl w:val="0"/>
        <w:tabs>
          <w:tab w:val="left" w:pos="93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обеспечение безопасного пространства;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32"/>
        </w:tabs>
        <w:spacing w:after="0" w:line="360" w:lineRule="auto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духовно - нравственное развитие;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32"/>
        </w:tabs>
        <w:spacing w:after="0" w:line="360" w:lineRule="auto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формирование социально - бытовой компетенции.</w:t>
      </w:r>
    </w:p>
    <w:p w:rsidR="00FE2BDC" w:rsidRPr="00FE2BDC" w:rsidRDefault="00FE2BDC" w:rsidP="00FE2BDC">
      <w:pPr>
        <w:widowControl w:val="0"/>
        <w:spacing w:after="0" w:line="360" w:lineRule="auto"/>
        <w:ind w:firstLine="760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b/>
          <w:bCs/>
          <w:color w:val="74646A"/>
          <w:sz w:val="26"/>
          <w:szCs w:val="26"/>
          <w:lang w:eastAsia="ru-RU" w:bidi="ru-RU"/>
        </w:rPr>
        <w:t>Ожидаемые конечные результаты реализации программы (слайд):</w:t>
      </w:r>
    </w:p>
    <w:p w:rsidR="00FE2BDC" w:rsidRPr="00FE2BDC" w:rsidRDefault="007B7D76" w:rsidP="00FE2BDC">
      <w:pPr>
        <w:widowControl w:val="0"/>
        <w:tabs>
          <w:tab w:val="left" w:pos="3554"/>
        </w:tabs>
        <w:spacing w:after="0" w:line="360" w:lineRule="auto"/>
        <w:ind w:firstLine="660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Обучающий эффект:</w:t>
      </w:r>
      <w:r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ab/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 xml:space="preserve">получение учениками 'начального специального коррекционного образования на уровне СФГОС с учетом реальных учебных и психофизиологических возможностей, их способностей и интересов; </w:t>
      </w: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val="en-US" w:bidi="en-US"/>
        </w:rPr>
        <w:t>U</w:t>
      </w:r>
    </w:p>
    <w:p w:rsidR="00FE2BDC" w:rsidRPr="00FE2BDC" w:rsidRDefault="00FE2BDC" w:rsidP="00FE2BDC">
      <w:pPr>
        <w:widowControl w:val="0"/>
        <w:tabs>
          <w:tab w:val="left" w:pos="839"/>
          <w:tab w:val="left" w:pos="1217"/>
          <w:tab w:val="left" w:pos="1642"/>
          <w:tab w:val="left" w:pos="2462"/>
        </w:tabs>
        <w:spacing w:after="0" w:line="240" w:lineRule="auto"/>
        <w:ind w:right="680"/>
        <w:jc w:val="right"/>
        <w:rPr>
          <w:rFonts w:ascii="Arial" w:eastAsia="Arial" w:hAnsi="Arial" w:cs="Arial"/>
          <w:color w:val="74646A"/>
          <w:sz w:val="8"/>
          <w:szCs w:val="8"/>
          <w:lang w:eastAsia="ru-RU" w:bidi="ru-RU"/>
        </w:rPr>
      </w:pPr>
      <w:r w:rsidRPr="00FE2BDC">
        <w:rPr>
          <w:rFonts w:ascii="Arial" w:eastAsia="Arial" w:hAnsi="Arial" w:cs="Arial"/>
          <w:color w:val="74646A"/>
          <w:sz w:val="8"/>
          <w:szCs w:val="8"/>
          <w:lang w:eastAsia="ru-RU" w:bidi="ru-RU"/>
        </w:rPr>
        <w:t>А ■</w:t>
      </w:r>
      <w:r w:rsidRPr="00FE2BDC">
        <w:rPr>
          <w:rFonts w:ascii="Arial" w:eastAsia="Arial" w:hAnsi="Arial" w:cs="Arial"/>
          <w:color w:val="74646A"/>
          <w:sz w:val="8"/>
          <w:szCs w:val="8"/>
          <w:lang w:eastAsia="ru-RU" w:bidi="ru-RU"/>
        </w:rPr>
        <w:tab/>
        <w:t>.</w:t>
      </w:r>
      <w:r w:rsidRPr="00FE2BDC">
        <w:rPr>
          <w:rFonts w:ascii="Arial" w:eastAsia="Arial" w:hAnsi="Arial" w:cs="Arial"/>
          <w:color w:val="74646A"/>
          <w:sz w:val="8"/>
          <w:szCs w:val="8"/>
          <w:lang w:eastAsia="ru-RU" w:bidi="ru-RU"/>
        </w:rPr>
        <w:tab/>
        <w:t>'</w:t>
      </w:r>
      <w:r w:rsidRPr="00FE2BDC">
        <w:rPr>
          <w:rFonts w:ascii="Arial" w:eastAsia="Arial" w:hAnsi="Arial" w:cs="Arial"/>
          <w:color w:val="74646A"/>
          <w:sz w:val="8"/>
          <w:szCs w:val="8"/>
          <w:lang w:eastAsia="ru-RU" w:bidi="ru-RU"/>
        </w:rPr>
        <w:tab/>
        <w:t>■ ■'</w:t>
      </w:r>
      <w:r w:rsidRPr="00FE2BDC">
        <w:rPr>
          <w:rFonts w:ascii="Arial" w:eastAsia="Arial" w:hAnsi="Arial" w:cs="Arial"/>
          <w:color w:val="74646A"/>
          <w:sz w:val="8"/>
          <w:szCs w:val="8"/>
          <w:lang w:eastAsia="ru-RU" w:bidi="ru-RU"/>
        </w:rPr>
        <w:tab/>
        <w:t>*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5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 xml:space="preserve">получение, расширение и углубление теоретических и практических навыков и умений учащихся в области формирования культуры здорового образа жизни и безопасности жизнедеятельности, поведения в сложных </w:t>
      </w: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lastRenderedPageBreak/>
        <w:t>жизненных ситуациях; социально - бытовых компетенций.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Воспитательный эффект: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10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формирование элементов интеллектуальной, нравственной и эстетической готовности к эффективному обучению;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4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формирование психологической и волевой готовности к социально - нравственному поведению;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32"/>
        </w:tabs>
        <w:spacing w:after="0" w:line="360" w:lineRule="auto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формирование коммуникативных компетенций, коллективизма;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4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формирование понимания необходимости вести здоровый образ жизни.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Социальный эффект: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25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мотивация к ведению здорового образа жизни, профилактика вредных привычек: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1056"/>
        </w:tabs>
        <w:spacing w:after="0" w:line="348" w:lineRule="auto"/>
        <w:jc w:val="both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профилактика правонарушений, отвлечение учеников от антисоциальной деятельности;</w:t>
      </w:r>
    </w:p>
    <w:p w:rsidR="00FE2BDC" w:rsidRPr="00FE2BDC" w:rsidRDefault="00FE2BDC" w:rsidP="00FE2BDC">
      <w:pPr>
        <w:widowControl w:val="0"/>
        <w:numPr>
          <w:ilvl w:val="0"/>
          <w:numId w:val="4"/>
        </w:numPr>
        <w:tabs>
          <w:tab w:val="left" w:pos="932"/>
        </w:tabs>
        <w:spacing w:after="0" w:line="360" w:lineRule="auto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правовое поведение, профилактика негативного поведения.</w:t>
      </w:r>
    </w:p>
    <w:p w:rsidR="00FE2BDC" w:rsidRPr="00FE2BDC" w:rsidRDefault="00FE2BDC" w:rsidP="00FE2BDC">
      <w:pPr>
        <w:widowControl w:val="0"/>
        <w:spacing w:after="0" w:line="360" w:lineRule="auto"/>
        <w:ind w:firstLine="660"/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4646A"/>
          <w:sz w:val="26"/>
          <w:szCs w:val="26"/>
          <w:lang w:eastAsia="ru-RU" w:bidi="ru-RU"/>
        </w:rPr>
        <w:t>Оздоровительный эффект:</w:t>
      </w:r>
    </w:p>
    <w:p w:rsidR="00FE2BDC" w:rsidRDefault="00FE2BDC"/>
    <w:p w:rsidR="00FE2BDC" w:rsidRPr="00FE2BDC" w:rsidRDefault="00FE2BDC" w:rsidP="00FE2BDC">
      <w:pPr>
        <w:widowControl w:val="0"/>
        <w:numPr>
          <w:ilvl w:val="0"/>
          <w:numId w:val="5"/>
        </w:numPr>
        <w:tabs>
          <w:tab w:val="left" w:pos="9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>привлечение учащихся к систематическим занятиям физической культурой и спортом;</w:t>
      </w:r>
    </w:p>
    <w:p w:rsidR="00FE2BDC" w:rsidRPr="00FE2BDC" w:rsidRDefault="00FE2BDC" w:rsidP="00FE2BDC">
      <w:pPr>
        <w:widowControl w:val="0"/>
        <w:numPr>
          <w:ilvl w:val="0"/>
          <w:numId w:val="5"/>
        </w:numPr>
        <w:tabs>
          <w:tab w:val="left" w:pos="9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>развитие физических качеств, общей моторики, приобретение необходимых навыков для выполнения физических упражнений;</w:t>
      </w:r>
    </w:p>
    <w:p w:rsidR="00FE2BDC" w:rsidRPr="00FE2BDC" w:rsidRDefault="00FE2BDC" w:rsidP="00FE2BDC">
      <w:pPr>
        <w:widowControl w:val="0"/>
        <w:numPr>
          <w:ilvl w:val="0"/>
          <w:numId w:val="5"/>
        </w:numPr>
        <w:tabs>
          <w:tab w:val="left" w:pos="989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 xml:space="preserve">профилактика и коррекция физических недостатков средствами </w:t>
      </w:r>
      <w:proofErr w:type="spellStart"/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>здоровьесберегающих</w:t>
      </w:r>
      <w:proofErr w:type="spellEnd"/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 xml:space="preserve"> технологий.</w:t>
      </w:r>
    </w:p>
    <w:p w:rsidR="00FE2BDC" w:rsidRPr="00FE2BDC" w:rsidRDefault="00FE2BDC" w:rsidP="00FE2BDC">
      <w:pPr>
        <w:widowControl w:val="0"/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</w:pPr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 xml:space="preserve">Мы считаем, что использование данной программы позволит совершенствовать учебно-воспитательный процесс, обеспечивающий доступность, качество и эффективность образования, будет способствовать развитию самосознания на основе совершенствования </w:t>
      </w:r>
      <w:proofErr w:type="spellStart"/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>здоровьеформирующей</w:t>
      </w:r>
      <w:proofErr w:type="spellEnd"/>
      <w:r w:rsidRPr="00FE2BDC">
        <w:rPr>
          <w:rFonts w:ascii="Times New Roman" w:eastAsia="Times New Roman" w:hAnsi="Times New Roman" w:cs="Times New Roman"/>
          <w:color w:val="75685F"/>
          <w:sz w:val="26"/>
          <w:szCs w:val="26"/>
          <w:lang w:eastAsia="ru-RU" w:bidi="ru-RU"/>
        </w:rPr>
        <w:t xml:space="preserve"> среды и обеспечения безопасного пространства.</w:t>
      </w:r>
    </w:p>
    <w:p w:rsidR="00FE2BDC" w:rsidRDefault="00FE2BDC"/>
    <w:p w:rsidR="00FE2BDC" w:rsidRDefault="00FE2BDC"/>
    <w:p w:rsidR="00FE2BDC" w:rsidRDefault="00FE2BDC"/>
    <w:p w:rsidR="00FE2BDC" w:rsidRDefault="00FE2BDC"/>
    <w:sectPr w:rsidR="00FE2BDC" w:rsidSect="007657FC">
      <w:pgSz w:w="11900" w:h="16840"/>
      <w:pgMar w:top="1009" w:right="1453" w:bottom="1009" w:left="1563" w:header="581" w:footer="581" w:gutter="0"/>
      <w:pgNumType w:start="1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86698"/>
    <w:multiLevelType w:val="multilevel"/>
    <w:tmpl w:val="2662F88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7676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BD7AC7"/>
    <w:multiLevelType w:val="multilevel"/>
    <w:tmpl w:val="DB7CA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7676D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B57D02"/>
    <w:multiLevelType w:val="multilevel"/>
    <w:tmpl w:val="0A28F8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46865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2B608F7"/>
    <w:multiLevelType w:val="multilevel"/>
    <w:tmpl w:val="1D2692E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4646A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CD1090A"/>
    <w:multiLevelType w:val="multilevel"/>
    <w:tmpl w:val="DDCEE69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75685F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3032"/>
    <w:rsid w:val="00033B65"/>
    <w:rsid w:val="00062055"/>
    <w:rsid w:val="00226787"/>
    <w:rsid w:val="0034336B"/>
    <w:rsid w:val="003F3C6C"/>
    <w:rsid w:val="0046706B"/>
    <w:rsid w:val="00684F74"/>
    <w:rsid w:val="007657FC"/>
    <w:rsid w:val="007B7D76"/>
    <w:rsid w:val="008708CA"/>
    <w:rsid w:val="009231A5"/>
    <w:rsid w:val="00AC0F98"/>
    <w:rsid w:val="00D20DA9"/>
    <w:rsid w:val="00DB4238"/>
    <w:rsid w:val="00F10169"/>
    <w:rsid w:val="00F34631"/>
    <w:rsid w:val="00F85B36"/>
    <w:rsid w:val="00FE2BDC"/>
    <w:rsid w:val="00FE3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7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FE2BDC"/>
    <w:rPr>
      <w:rFonts w:ascii="Times New Roman" w:eastAsia="Times New Roman" w:hAnsi="Times New Roman" w:cs="Times New Roman"/>
      <w:color w:val="77676D"/>
      <w:sz w:val="26"/>
      <w:szCs w:val="26"/>
    </w:rPr>
  </w:style>
  <w:style w:type="paragraph" w:customStyle="1" w:styleId="1">
    <w:name w:val="Основной текст1"/>
    <w:basedOn w:val="a"/>
    <w:link w:val="a3"/>
    <w:rsid w:val="00FE2BDC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color w:val="77676D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1558</Words>
  <Characters>8881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27</dc:creator>
  <cp:keywords/>
  <dc:description/>
  <cp:lastModifiedBy>Пользователь Windows</cp:lastModifiedBy>
  <cp:revision>6</cp:revision>
  <dcterms:created xsi:type="dcterms:W3CDTF">2023-04-10T03:31:00Z</dcterms:created>
  <dcterms:modified xsi:type="dcterms:W3CDTF">2024-12-05T14:51:00Z</dcterms:modified>
</cp:coreProperties>
</file>